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32"/>
        <w:tblW w:w="0" w:type="auto"/>
        <w:tblLook w:val="04A0"/>
      </w:tblPr>
      <w:tblGrid>
        <w:gridCol w:w="1613"/>
        <w:gridCol w:w="7727"/>
      </w:tblGrid>
      <w:tr w:rsidR="009103AD" w:rsidTr="00F515EE">
        <w:trPr>
          <w:cnfStyle w:val="100000000000"/>
          <w:trHeight w:val="721"/>
        </w:trPr>
        <w:tc>
          <w:tcPr>
            <w:cnfStyle w:val="001000000000"/>
            <w:tcW w:w="9340" w:type="dxa"/>
            <w:gridSpan w:val="2"/>
          </w:tcPr>
          <w:p w:rsidR="009103AD" w:rsidRPr="007B00BB" w:rsidRDefault="009103AD" w:rsidP="00F515EE">
            <w:pPr>
              <w:jc w:val="center"/>
              <w:rPr>
                <w:sz w:val="36"/>
                <w:szCs w:val="36"/>
              </w:rPr>
            </w:pPr>
            <w:r w:rsidRPr="007B00BB">
              <w:rPr>
                <w:rFonts w:ascii="Arial" w:hAnsi="Arial" w:cs="Arial"/>
                <w:sz w:val="36"/>
                <w:szCs w:val="36"/>
              </w:rPr>
              <w:t xml:space="preserve">FSC </w:t>
            </w:r>
            <w:r w:rsidRPr="007B00BB">
              <w:rPr>
                <w:rFonts w:asciiTheme="minorEastAsia" w:eastAsiaTheme="minorEastAsia" w:hAnsiTheme="minorEastAsia" w:cs="Arial" w:hint="eastAsia"/>
                <w:sz w:val="36"/>
                <w:szCs w:val="36"/>
                <w:lang w:eastAsia="zh-CN"/>
              </w:rPr>
              <w:t>2019</w:t>
            </w:r>
            <w:r w:rsidRPr="007B00BB"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  <w:t>亚太商业论坛</w:t>
            </w:r>
            <w:r w:rsidRPr="007B00BB">
              <w:rPr>
                <w:rFonts w:ascii="Arial" w:eastAsiaTheme="minorEastAsia" w:hAnsi="Arial" w:cs="Arial" w:hint="eastAsia"/>
                <w:sz w:val="36"/>
                <w:szCs w:val="36"/>
                <w:lang w:eastAsia="zh-CN"/>
              </w:rPr>
              <w:t>（</w:t>
            </w:r>
            <w:r w:rsidRPr="007B00BB">
              <w:rPr>
                <w:rFonts w:ascii="Arial" w:eastAsiaTheme="minorEastAsia" w:hAnsi="Arial" w:cs="Arial" w:hint="eastAsia"/>
                <w:sz w:val="36"/>
                <w:szCs w:val="36"/>
                <w:lang w:eastAsia="zh-CN"/>
              </w:rPr>
              <w:t>2019.10.18</w:t>
            </w:r>
            <w:r w:rsidRPr="007B00BB">
              <w:rPr>
                <w:rFonts w:ascii="Arial" w:eastAsiaTheme="minorEastAsia" w:hAnsi="Arial" w:cs="Arial" w:hint="eastAsia"/>
                <w:sz w:val="36"/>
                <w:szCs w:val="36"/>
                <w:lang w:eastAsia="zh-CN"/>
              </w:rPr>
              <w:t>）</w:t>
            </w: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7B00BB" w:rsidRDefault="009103AD" w:rsidP="00F515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F7FDE">
              <w:rPr>
                <w:rFonts w:asciiTheme="minorHAnsi" w:hAnsiTheme="minorHAnsi" w:cstheme="minorBidi"/>
                <w:sz w:val="22"/>
                <w:szCs w:val="22"/>
              </w:rPr>
              <w:t>08:30-09:00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签到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7B00BB" w:rsidRDefault="009103AD" w:rsidP="00F515E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010000"/>
              <w:rPr>
                <w:b/>
                <w:bCs/>
              </w:rPr>
            </w:pP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7B00BB" w:rsidRDefault="009103AD" w:rsidP="00F515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B00BB">
              <w:rPr>
                <w:rFonts w:asciiTheme="minorHAnsi" w:hAnsiTheme="minorHAnsi" w:cstheme="minorBidi" w:hint="eastAsia"/>
                <w:sz w:val="22"/>
                <w:szCs w:val="22"/>
              </w:rPr>
              <w:t>0</w:t>
            </w:r>
            <w:r w:rsidRPr="005F7FDE">
              <w:rPr>
                <w:rFonts w:asciiTheme="minorHAnsi" w:hAnsiTheme="minorHAnsi" w:cstheme="minorBidi"/>
                <w:sz w:val="22"/>
                <w:szCs w:val="22"/>
              </w:rPr>
              <w:t>9:00-09:30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开幕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7B00BB" w:rsidRDefault="009103AD" w:rsidP="00F515EE"/>
        </w:tc>
        <w:tc>
          <w:tcPr>
            <w:tcW w:w="7727" w:type="dxa"/>
          </w:tcPr>
          <w:p w:rsidR="009103AD" w:rsidRPr="00154391" w:rsidRDefault="009103AD" w:rsidP="00F515EE">
            <w:pPr>
              <w:spacing w:after="160" w:line="259" w:lineRule="auto"/>
              <w:cnfStyle w:val="000000010000"/>
              <w:rPr>
                <w:rFonts w:asciiTheme="minorHAnsi" w:hAnsiTheme="minorHAnsi" w:cstheme="minorBidi"/>
                <w:sz w:val="22"/>
                <w:szCs w:val="22"/>
                <w:lang w:eastAsia="zh-CN"/>
              </w:rPr>
            </w:pPr>
            <w:r w:rsidRPr="005F7FDE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欢迎致辞</w:t>
            </w:r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 xml:space="preserve">, Kim Cartsensen, Director General </w:t>
            </w:r>
          </w:p>
          <w:p w:rsidR="009103AD" w:rsidRPr="00154391" w:rsidRDefault="009103AD" w:rsidP="00F515EE">
            <w:pPr>
              <w:spacing w:after="160" w:line="259" w:lineRule="auto"/>
              <w:cnfStyle w:val="000000010000"/>
              <w:rPr>
                <w:rFonts w:asciiTheme="minorHAnsi" w:hAnsiTheme="minorHAnsi" w:cstheme="minorBidi"/>
                <w:sz w:val="22"/>
                <w:szCs w:val="22"/>
                <w:lang w:eastAsia="zh-CN"/>
              </w:rPr>
            </w:pPr>
            <w:r w:rsidRPr="005F7FDE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主旨发言嘉宾致开幕辞</w:t>
            </w:r>
          </w:p>
          <w:p w:rsidR="009103AD" w:rsidRPr="00154391" w:rsidRDefault="009103AD" w:rsidP="00F515EE">
            <w:pPr>
              <w:spacing w:after="160" w:line="259" w:lineRule="auto"/>
              <w:cnfStyle w:val="000000010000"/>
              <w:rPr>
                <w:rFonts w:asciiTheme="minorHAnsi" w:hAnsiTheme="minorHAnsi" w:cstheme="minorBidi"/>
                <w:sz w:val="22"/>
                <w:szCs w:val="22"/>
                <w:lang w:eastAsia="zh-CN"/>
              </w:rPr>
            </w:pPr>
            <w:r w:rsidRPr="005F7FDE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中国政府代表</w:t>
            </w:r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 xml:space="preserve"> (TBC) </w:t>
            </w:r>
          </w:p>
          <w:p w:rsidR="009103AD" w:rsidRPr="00154391" w:rsidRDefault="009103AD" w:rsidP="00F515EE">
            <w:pPr>
              <w:spacing w:after="160" w:line="259" w:lineRule="auto"/>
              <w:cnfStyle w:val="000000010000"/>
              <w:rPr>
                <w:rFonts w:asciiTheme="minorHAnsi" w:hAnsiTheme="minorHAnsi" w:cstheme="minorBidi"/>
                <w:sz w:val="22"/>
                <w:szCs w:val="22"/>
                <w:lang w:eastAsia="zh-CN"/>
              </w:rPr>
            </w:pPr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FSC</w:t>
            </w:r>
            <w:r w:rsidRPr="005F7FDE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在亚太地区的最新发展动向</w:t>
            </w:r>
          </w:p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  <w:r w:rsidRPr="005F7FD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  <w:t>Jayco Fung,</w:t>
            </w:r>
            <w:r w:rsidRPr="008B411C">
              <w:rPr>
                <w:rFonts w:asciiTheme="minorHAnsi" w:eastAsiaTheme="minorEastAsia" w:hAnsiTheme="minorHAnsi" w:cstheme="minorBidi" w:hint="eastAsia"/>
                <w:color w:val="auto"/>
                <w:sz w:val="22"/>
                <w:szCs w:val="22"/>
                <w:lang w:eastAsia="zh-CN"/>
              </w:rPr>
              <w:t>FSC</w:t>
            </w:r>
            <w:r w:rsidRPr="008B411C">
              <w:rPr>
                <w:rFonts w:asciiTheme="minorHAnsi" w:eastAsiaTheme="minorEastAsia" w:hAnsiTheme="minorHAnsi" w:cstheme="minorBidi" w:hint="eastAsia"/>
                <w:color w:val="auto"/>
                <w:sz w:val="22"/>
                <w:szCs w:val="22"/>
                <w:lang w:eastAsia="zh-CN"/>
              </w:rPr>
              <w:t>亚太区商务拓展经理，代理亚太区区域总监</w:t>
            </w: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09:30-09:50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b/>
                <w:bCs/>
              </w:rPr>
            </w:pPr>
            <w:r w:rsidRPr="001A118C"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可持续发展的价值主张——促进与客户及商业伙伴的关系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</w:pPr>
            <w:r w:rsidRPr="005F7FDE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该环节将重点讨论零售商和品牌如何利用</w:t>
            </w:r>
            <w:r w:rsidRPr="005F7FDE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FSC</w:t>
            </w:r>
            <w:r w:rsidRPr="005F7FDE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独特的价值主张，通过与客户和供应商的合作，推动对可持续产品的需求。</w:t>
            </w: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Default="009103AD" w:rsidP="00F515EE">
            <w:r w:rsidRPr="007B00BB">
              <w:rPr>
                <w:rFonts w:asciiTheme="minorHAnsi" w:hAnsiTheme="minorHAnsi" w:cstheme="minorBidi" w:hint="eastAsia"/>
                <w:sz w:val="22"/>
                <w:szCs w:val="22"/>
                <w:lang w:eastAsia="zh-CN"/>
              </w:rPr>
              <w:t>09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:</w:t>
            </w:r>
            <w:r w:rsidRPr="007B00BB">
              <w:rPr>
                <w:rFonts w:asciiTheme="minorHAnsi" w:hAnsiTheme="minorHAnsi" w:cstheme="minorBidi" w:hint="eastAsia"/>
                <w:sz w:val="22"/>
                <w:szCs w:val="22"/>
                <w:lang w:eastAsia="zh-CN"/>
              </w:rPr>
              <w:t>50-10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:</w:t>
            </w:r>
            <w:r w:rsidRPr="007B00BB">
              <w:rPr>
                <w:rFonts w:asciiTheme="minorHAnsi" w:hAnsiTheme="minorHAnsi" w:cstheme="minorBidi" w:hint="eastAsia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b/>
                <w:bCs/>
              </w:rPr>
            </w:pPr>
            <w:r w:rsidRPr="001A118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FSC</w:t>
            </w:r>
            <w:r w:rsidRPr="001A118C"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颁奖仪式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</w:pP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10:30–11:00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主题讨论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11:30–12:00</w:t>
            </w:r>
          </w:p>
        </w:tc>
        <w:tc>
          <w:tcPr>
            <w:tcW w:w="7727" w:type="dxa"/>
          </w:tcPr>
          <w:p w:rsidR="009103AD" w:rsidRDefault="009103AD" w:rsidP="00F515EE">
            <w:pPr>
              <w:cnfStyle w:val="000000100000"/>
              <w:rPr>
                <w:rFonts w:asciiTheme="minorEastAsia" w:hAnsiTheme="minorEastAsia"/>
              </w:rPr>
            </w:pPr>
            <w:r w:rsidRPr="00AA1B1E"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纤维，纸浆和纸张——实现稳定和负责任的供应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  <w:r w:rsidRPr="005F7FDE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该环节将探讨在采购负责任的纤维、纸浆和纸张方面所面临的挑战和机遇，并分享这些材料在各个领域目前获得的广泛应用。</w:t>
            </w: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5F7FDE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12:00–12:30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家具和家居用品——采购负责任原材料的进展（尤其在热带地区）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  <w:r w:rsidRPr="00FF7FE6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该环节将分享中国主流企业对于负责任采购的实践、在热带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木材领域</w:t>
            </w:r>
            <w:r w:rsidRPr="00FF7FE6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取得的进展，及其对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主要供给国</w:t>
            </w:r>
            <w:r w:rsidRPr="00FF7FE6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的影响。</w:t>
            </w: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12:30–13:00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rFonts w:asciiTheme="minorEastAsia" w:hAnsiTheme="minorEastAsia"/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主题讨论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13:00–14:30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rFonts w:asciiTheme="minorEastAsia" w:hAnsiTheme="minorEastAsia"/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午餐及自由讨论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14:30–15:00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rFonts w:asciiTheme="minorEastAsia" w:hAnsiTheme="minorEastAsia"/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取代一次性塑料——来自森林的解决方案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该环</w:t>
            </w:r>
            <w:r w:rsidRPr="00820A8A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节将分析以森林为原材料的产品是否有潜力替代一次性使用的塑料。</w:t>
            </w: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15:00–15:30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主题讨论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</w:pP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15:30–15:50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rFonts w:asciiTheme="minorEastAsia" w:hAnsiTheme="minorEastAsia"/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采购天然橡胶——可持续之路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  <w:r w:rsidRPr="00820A8A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该环节将目光投向以橡胶和乳胶为基础的工业，着重探讨它们在采用可持续采购和管理时所面临的挑战和机遇</w:t>
            </w: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15:50–16:20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主题讨论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Pr="00820A8A" w:rsidRDefault="009103AD" w:rsidP="00F515EE">
            <w:pPr>
              <w:cnfStyle w:val="000000010000"/>
            </w:pP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16:20–16:40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茶歇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16:40–17:00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rFonts w:asciiTheme="minorEastAsia" w:hAnsiTheme="minorEastAsia"/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认证机构对市场及认证表现的洞察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  <w:r w:rsidRPr="00820A8A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该环节提供了一个不同的视角，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由</w:t>
            </w:r>
            <w:r w:rsidRPr="00820A8A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在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亚太地区开展业务的认证机构分享</w:t>
            </w:r>
            <w:r w:rsidRPr="00820A8A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他们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观察到的</w:t>
            </w:r>
            <w:r w:rsidRPr="00820A8A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需求和增长，以及供应链的差距和机会。</w:t>
            </w: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17:00–17:20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rFonts w:asciiTheme="minorEastAsia" w:eastAsiaTheme="minorEastAsia" w:hAnsiTheme="minorEastAsia"/>
                <w:b/>
                <w:bCs/>
                <w:lang w:eastAsia="zh-CN"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合规及不断变化的市场——</w:t>
            </w:r>
            <w:r w:rsidRPr="001A118C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F</w:t>
            </w:r>
            <w:r w:rsidRPr="001A118C">
              <w:rPr>
                <w:rFonts w:asciiTheme="minorEastAsia" w:eastAsiaTheme="minorEastAsia" w:hAnsiTheme="minorEastAsia"/>
                <w:b/>
                <w:bCs/>
                <w:lang w:eastAsia="zh-CN"/>
              </w:rPr>
              <w:t>SC</w:t>
            </w:r>
            <w:r w:rsidRPr="001A118C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的最新创新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  <w:r w:rsidRPr="00820A8A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该环节将分享</w:t>
            </w:r>
            <w:r w:rsidRPr="00820A8A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FSC</w:t>
            </w:r>
            <w:r w:rsidRPr="00820A8A">
              <w:rPr>
                <w:rFonts w:asciiTheme="minorHAnsi" w:eastAsiaTheme="minorEastAsia" w:hAnsiTheme="minorHAnsi" w:cstheme="minorBidi" w:hint="eastAsia"/>
                <w:sz w:val="22"/>
                <w:szCs w:val="22"/>
                <w:lang w:eastAsia="zh-CN"/>
              </w:rPr>
              <w:t>目前正在进行的创新，及这些创新将如何惠及证书持有者和负责任林业的更广泛领域。</w:t>
            </w: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17:20–17:50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rFonts w:asciiTheme="minorEastAsia" w:hAnsiTheme="minorEastAsia"/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主题讨论</w:t>
            </w:r>
          </w:p>
        </w:tc>
      </w:tr>
      <w:tr w:rsidR="009103AD" w:rsidTr="00F515EE">
        <w:trPr>
          <w:cnfStyle w:val="000000010000"/>
        </w:trPr>
        <w:tc>
          <w:tcPr>
            <w:cnfStyle w:val="001000000000"/>
            <w:tcW w:w="1613" w:type="dxa"/>
          </w:tcPr>
          <w:p w:rsidR="009103AD" w:rsidRPr="00154391" w:rsidRDefault="009103AD" w:rsidP="00F515EE"/>
        </w:tc>
        <w:tc>
          <w:tcPr>
            <w:tcW w:w="7727" w:type="dxa"/>
          </w:tcPr>
          <w:p w:rsidR="009103AD" w:rsidRDefault="009103AD" w:rsidP="00F515EE">
            <w:pPr>
              <w:cnfStyle w:val="000000010000"/>
              <w:rPr>
                <w:rFonts w:asciiTheme="minorEastAsia" w:hAnsiTheme="minorEastAsia"/>
              </w:rPr>
            </w:pPr>
          </w:p>
        </w:tc>
      </w:tr>
      <w:tr w:rsidR="009103AD" w:rsidTr="00F515EE">
        <w:trPr>
          <w:cnfStyle w:val="000000100000"/>
        </w:trPr>
        <w:tc>
          <w:tcPr>
            <w:cnfStyle w:val="001000000000"/>
            <w:tcW w:w="1613" w:type="dxa"/>
          </w:tcPr>
          <w:p w:rsidR="009103AD" w:rsidRPr="00154391" w:rsidRDefault="009103AD" w:rsidP="00F515EE">
            <w:r w:rsidRPr="00154391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17:50–18:00</w:t>
            </w:r>
          </w:p>
        </w:tc>
        <w:tc>
          <w:tcPr>
            <w:tcW w:w="7727" w:type="dxa"/>
          </w:tcPr>
          <w:p w:rsidR="009103AD" w:rsidRPr="001A118C" w:rsidRDefault="009103AD" w:rsidP="00F515EE">
            <w:pPr>
              <w:cnfStyle w:val="000000100000"/>
              <w:rPr>
                <w:rFonts w:asciiTheme="minorEastAsia" w:hAnsiTheme="minorEastAsia"/>
                <w:b/>
                <w:bCs/>
              </w:rPr>
            </w:pPr>
            <w:r w:rsidRPr="001A118C">
              <w:rPr>
                <w:rFonts w:asciiTheme="minorEastAsia" w:eastAsiaTheme="minorEastAsia" w:hAnsiTheme="minorEastAsia" w:hint="eastAsia"/>
                <w:b/>
                <w:bCs/>
              </w:rPr>
              <w:t>闭幕</w:t>
            </w:r>
          </w:p>
        </w:tc>
      </w:tr>
    </w:tbl>
    <w:p w:rsidR="00663928" w:rsidRDefault="00663928">
      <w:bookmarkStart w:id="0" w:name="_GoBack"/>
      <w:bookmarkEnd w:id="0"/>
    </w:p>
    <w:sectPr w:rsidR="00663928" w:rsidSect="009E1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F1" w:rsidRDefault="004B48F1" w:rsidP="007363C4">
      <w:pPr>
        <w:spacing w:after="0" w:line="240" w:lineRule="auto"/>
      </w:pPr>
      <w:r>
        <w:separator/>
      </w:r>
    </w:p>
  </w:endnote>
  <w:endnote w:type="continuationSeparator" w:id="1">
    <w:p w:rsidR="004B48F1" w:rsidRDefault="004B48F1" w:rsidP="0073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F1" w:rsidRDefault="004B48F1" w:rsidP="007363C4">
      <w:pPr>
        <w:spacing w:after="0" w:line="240" w:lineRule="auto"/>
      </w:pPr>
      <w:r>
        <w:separator/>
      </w:r>
    </w:p>
  </w:footnote>
  <w:footnote w:type="continuationSeparator" w:id="1">
    <w:p w:rsidR="004B48F1" w:rsidRDefault="004B48F1" w:rsidP="00736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03F9"/>
    <w:rsid w:val="003F03F9"/>
    <w:rsid w:val="004B48F1"/>
    <w:rsid w:val="00663928"/>
    <w:rsid w:val="007363C4"/>
    <w:rsid w:val="009103AD"/>
    <w:rsid w:val="009E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ediumShading1-Accent32">
    <w:name w:val="Medium Shading 1 - Accent 32"/>
    <w:basedOn w:val="a1"/>
    <w:next w:val="1-3"/>
    <w:uiPriority w:val="63"/>
    <w:rsid w:val="009103A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en-GB" w:eastAsia="zh-TW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semiHidden/>
    <w:unhideWhenUsed/>
    <w:rsid w:val="009103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semiHidden/>
    <w:unhideWhenUsed/>
    <w:rsid w:val="00736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3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 Shen</dc:creator>
  <cp:lastModifiedBy>Administrator</cp:lastModifiedBy>
  <cp:revision>2</cp:revision>
  <dcterms:created xsi:type="dcterms:W3CDTF">2019-08-10T01:14:00Z</dcterms:created>
  <dcterms:modified xsi:type="dcterms:W3CDTF">2019-08-10T01:14:00Z</dcterms:modified>
</cp:coreProperties>
</file>